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CE5CD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0" w:line="480" w:lineRule="auto"/>
        <w:jc w:val="center"/>
        <w:rPr>
          <w:b w:val="1"/>
          <w:bCs w:val="1"/>
          <w:color w:val="1c4587"/>
          <w:sz w:val="32"/>
          <w:szCs w:val="32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bCs w:val="1"/>
          <w:color w:val="1c4587"/>
          <w:sz w:val="36"/>
          <w:szCs w:val="36"/>
          <w:rtl w:val="0"/>
        </w:rPr>
        <w:t xml:space="preserve">Safeguarding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40" w:before="240" w:line="480" w:lineRule="auto"/>
        <w:rPr>
          <w:color w:val="1c4587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Introduction</w:t>
        <w:br w:type="textWrapping"/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At WheelieQueer, we are committed to creating a safe, respectful, and supportive environment for everyone we work with. We recognise that many of our clients may have experienced trauma, abuse, or neglect, and we take safeguarding seriously.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Our Approach</w:t>
      </w:r>
      <w:r w:rsidDel="00000000" w:rsidR="00000000" w:rsidRPr="00000000">
        <w:rPr>
          <w:b w:val="1"/>
          <w:bCs w:val="1"/>
          <w:color w:val="1c4587"/>
          <w:rtl w:val="0"/>
        </w:rPr>
        <w:br w:type="textWrapping"/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We work in a trauma-informed, person-centred way and treat all clients with dignity and care. We aim to build trust and support people at their pace — without judgment or pressure.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Safeguarding is about protecting people from harm, abuse, or exploitation. We understand that harm can come in many forms, including: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numPr>
          <w:ilvl w:val="0"/>
          <w:numId w:val="3"/>
        </w:numPr>
        <w:spacing w:after="0" w:afterAutospacing="0" w:before="240" w:line="480" w:lineRule="auto"/>
        <w:ind w:left="720" w:hanging="360"/>
        <w:rPr>
          <w:color w:val="1c4587"/>
          <w:sz w:val="28"/>
          <w:szCs w:val="28"/>
          <w:u w:val="none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Physical, emotional, sexual, or financial abuse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  <w:u w:val="none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Neglect or self-neglect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  <w:u w:val="none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Domestic abuse or coercive control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  <w:u w:val="none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Hate crime, discrimination, or targeted harassment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numPr>
          <w:ilvl w:val="0"/>
          <w:numId w:val="3"/>
        </w:numPr>
        <w:spacing w:after="240" w:before="0" w:beforeAutospacing="0" w:line="480" w:lineRule="auto"/>
        <w:ind w:left="720" w:hanging="360"/>
        <w:rPr>
          <w:color w:val="1c4587"/>
          <w:sz w:val="28"/>
          <w:szCs w:val="28"/>
          <w:u w:val="none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Institutional abuse or poor care within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When We May Need to Share Information</w:t>
      </w:r>
      <w:r w:rsidDel="00000000" w:rsidR="00000000" w:rsidRPr="00000000">
        <w:rPr>
          <w:b w:val="1"/>
          <w:bCs w:val="1"/>
          <w:color w:val="1c4587"/>
          <w:sz w:val="28"/>
          <w:szCs w:val="28"/>
          <w:rtl w:val="0"/>
        </w:rPr>
        <w:br w:type="textWrapping"/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We treat everything you tell us as confidential. However, if we believe that you or someone else is at serious risk of harm — and we are unable to contact you or get your consent — we may need to raise a safeguarding concern or share information with an appropriate service.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We will always try to speak to you first and explain what’s happening, unless it would put you or someone else at further risk.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Examples might include: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240" w:line="480" w:lineRule="auto"/>
        <w:ind w:left="720" w:hanging="360"/>
        <w:rPr>
          <w:b w:val="1"/>
          <w:bCs w:val="1"/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If you disclose ongoing abuse and are at immediate risk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b w:val="1"/>
          <w:bCs w:val="1"/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If someone else (such as a child or dependent adult) is being harmed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b w:val="1"/>
          <w:bCs w:val="1"/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If you tell us you are planning to end your life and we cannot get in touch to make sure that you are safe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numPr>
          <w:ilvl w:val="0"/>
          <w:numId w:val="1"/>
        </w:numPr>
        <w:spacing w:after="240" w:before="0" w:beforeAutospacing="0" w:line="480" w:lineRule="auto"/>
        <w:ind w:left="720" w:hanging="360"/>
        <w:rPr>
          <w:b w:val="1"/>
          <w:bCs w:val="1"/>
          <w:color w:val="1c4587"/>
          <w:sz w:val="28"/>
          <w:szCs w:val="28"/>
        </w:rPr>
      </w:pPr>
      <w:bookmarkStart w:colFirst="0" w:colLast="0" w:name="_heading=h.r7un6trb5pa" w:id="1"/>
      <w:bookmarkEnd w:id="1"/>
      <w:r w:rsidDel="00000000" w:rsidR="00000000" w:rsidRPr="00000000">
        <w:rPr>
          <w:color w:val="1c4587"/>
          <w:sz w:val="28"/>
          <w:szCs w:val="28"/>
          <w:rtl w:val="0"/>
        </w:rPr>
        <w:t xml:space="preserve">If we are contacted by emergency services 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What You Can Expect from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24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iehg54ok5vk1" w:id="2"/>
      <w:bookmarkEnd w:id="2"/>
      <w:r w:rsidDel="00000000" w:rsidR="00000000" w:rsidRPr="00000000">
        <w:rPr>
          <w:color w:val="1c4587"/>
          <w:sz w:val="28"/>
          <w:szCs w:val="28"/>
          <w:rtl w:val="0"/>
        </w:rPr>
        <w:t xml:space="preserve">We will always listen to you and take your concerns seriously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iehg54ok5vk1" w:id="2"/>
      <w:bookmarkEnd w:id="2"/>
      <w:r w:rsidDel="00000000" w:rsidR="00000000" w:rsidRPr="00000000">
        <w:rPr>
          <w:color w:val="1c4587"/>
          <w:sz w:val="28"/>
          <w:szCs w:val="28"/>
          <w:rtl w:val="0"/>
        </w:rPr>
        <w:t xml:space="preserve">We will be clear about when and why information might be shared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iehg54ok5vk1" w:id="2"/>
      <w:bookmarkEnd w:id="2"/>
      <w:r w:rsidDel="00000000" w:rsidR="00000000" w:rsidRPr="00000000">
        <w:rPr>
          <w:color w:val="1c4587"/>
          <w:sz w:val="28"/>
          <w:szCs w:val="28"/>
          <w:rtl w:val="0"/>
        </w:rPr>
        <w:t xml:space="preserve">We will only share the minimum amount of information necessary to keep you (or someone else) safe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numPr>
          <w:ilvl w:val="0"/>
          <w:numId w:val="2"/>
        </w:numPr>
        <w:spacing w:after="24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77pwx9k4a1t3" w:id="3"/>
      <w:bookmarkEnd w:id="3"/>
      <w:r w:rsidDel="00000000" w:rsidR="00000000" w:rsidRPr="00000000">
        <w:rPr>
          <w:color w:val="1c4587"/>
          <w:sz w:val="28"/>
          <w:szCs w:val="28"/>
          <w:rtl w:val="0"/>
        </w:rPr>
        <w:t xml:space="preserve">We will keep you informed wherever possible and appropriate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Contact and Support</w:t>
      </w:r>
      <w:r w:rsidDel="00000000" w:rsidR="00000000" w:rsidRPr="00000000">
        <w:rPr>
          <w:b w:val="1"/>
          <w:bCs w:val="1"/>
          <w:color w:val="1c4587"/>
          <w:sz w:val="28"/>
          <w:szCs w:val="28"/>
          <w:rtl w:val="0"/>
        </w:rPr>
        <w:br w:type="textWrapping"/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If you are unsure about anything related to safeguarding or feel unsafe at any point during your work with us, please let us know. You are always welcome to bring a trusted person with you to any session or to request extra support. 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after="240" w:before="240" w:line="480" w:lineRule="auto"/>
        <w:rPr>
          <w:color w:val="1c4587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We are here to support you: your safety and wellbeing matter.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614363" cy="6143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363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WGr+7kZDrsVLRnFLejKyUuUl5w==">CgMxLjAyCWguMzBqMHpsbDINaC5yN3VuNnRyYjVwYTIOaC5pZWhnNTRvazV2azEyDmguaWVoZzU0b2s1dmsxMg5oLmllaGc1NG9rNXZrMTIOaC43N3B3eDlrNGExdDM4AHIhMWhFaGRzWkNmc0JwRWh1ekZaZzNlalQzRGxLanFhT294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