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6ED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360" w:line="360" w:lineRule="auto"/>
        <w:ind w:left="0" w:firstLine="0"/>
        <w:jc w:val="center"/>
        <w:rPr>
          <w:b w:val="1"/>
          <w:bCs w:val="1"/>
          <w:color w:val="073763"/>
          <w:sz w:val="34"/>
          <w:szCs w:val="34"/>
          <w:u w:val="none"/>
        </w:rPr>
      </w:pPr>
      <w:bookmarkStart w:colFirst="0" w:colLast="0" w:name="_8u27mtq9gwiw" w:id="0"/>
      <w:bookmarkEnd w:id="0"/>
      <w:r w:rsidDel="00000000" w:rsidR="00000000" w:rsidRPr="00000000">
        <w:rPr>
          <w:b w:val="1"/>
          <w:bCs w:val="1"/>
          <w:color w:val="073763"/>
          <w:sz w:val="34"/>
          <w:szCs w:val="34"/>
          <w:u w:val="none"/>
          <w:rtl w:val="0"/>
        </w:rPr>
        <w:t xml:space="preserve">WheelieQueer Sponsorship and Support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Your support helps Deaf, disabled and neurodivergent people access disability benefits guidance, appeal support and accessible services.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Many people we support are experiencing financial hardship, burnout, communication barriers or overwhelming systems. Donations and sponsorships help keep support accessible for those who may otherwise struggle to access help.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360" w:lineRule="auto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u w:val="none"/>
          <w:rtl w:val="0"/>
        </w:rPr>
        <w:t xml:space="preserve">£5 — Support Access</w:t>
      </w: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: </w:t>
      </w:r>
      <w:r w:rsidDel="00000000" w:rsidR="00000000" w:rsidRPr="00000000">
        <w:rPr>
          <w:color w:val="073763"/>
          <w:sz w:val="32"/>
          <w:szCs w:val="32"/>
          <w:rtl w:val="0"/>
        </w:rPr>
        <w:t xml:space="preserve">helps keep sessions affordable and accessible.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360" w:lineRule="auto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u w:val="none"/>
          <w:rtl w:val="0"/>
        </w:rPr>
        <w:t xml:space="preserve">£10 — Community Support</w:t>
      </w: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: </w:t>
      </w:r>
      <w:r w:rsidDel="00000000" w:rsidR="00000000" w:rsidRPr="00000000">
        <w:rPr>
          <w:color w:val="073763"/>
          <w:sz w:val="32"/>
          <w:szCs w:val="32"/>
          <w:rtl w:val="0"/>
        </w:rPr>
        <w:t xml:space="preserve">contributes towards reduced-cost sessions.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72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="360" w:lineRule="auto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u w:val="none"/>
          <w:rtl w:val="0"/>
        </w:rPr>
        <w:t xml:space="preserve">£25 — Fund 1 Discounted Session</w:t>
      </w: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: </w:t>
      </w:r>
      <w:r w:rsidDel="00000000" w:rsidR="00000000" w:rsidRPr="00000000">
        <w:rPr>
          <w:color w:val="073763"/>
          <w:sz w:val="32"/>
          <w:szCs w:val="32"/>
          <w:rtl w:val="0"/>
        </w:rPr>
        <w:t xml:space="preserve">covers a full reduced-rate support session for someone needing help with disability benefits.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360" w:lineRule="auto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u w:val="none"/>
          <w:rtl w:val="0"/>
        </w:rPr>
        <w:t xml:space="preserve">£50 — Fund 1 Standard Session</w:t>
      </w: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: </w:t>
      </w:r>
      <w:r w:rsidDel="00000000" w:rsidR="00000000" w:rsidRPr="00000000">
        <w:rPr>
          <w:color w:val="073763"/>
          <w:sz w:val="32"/>
          <w:szCs w:val="32"/>
          <w:rtl w:val="0"/>
        </w:rPr>
        <w:t xml:space="preserve">funds a full standard support session.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360" w:lineRule="auto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u w:val="none"/>
          <w:rtl w:val="0"/>
        </w:rPr>
        <w:t xml:space="preserve">£75 — Fund Follow-Up Support</w:t>
      </w: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: </w:t>
      </w:r>
      <w:r w:rsidDel="00000000" w:rsidR="00000000" w:rsidRPr="00000000">
        <w:rPr>
          <w:color w:val="073763"/>
          <w:sz w:val="32"/>
          <w:szCs w:val="32"/>
          <w:rtl w:val="0"/>
        </w:rPr>
        <w:t xml:space="preserve">supports ongoing support.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72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="360" w:lineRule="auto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u w:val="none"/>
          <w:rtl w:val="0"/>
        </w:rPr>
        <w:t xml:space="preserve">£100 — Support Ongoing Casework</w:t>
      </w: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: </w:t>
      </w:r>
      <w:r w:rsidDel="00000000" w:rsidR="00000000" w:rsidRPr="00000000">
        <w:rPr>
          <w:color w:val="073763"/>
          <w:sz w:val="32"/>
          <w:szCs w:val="32"/>
          <w:rtl w:val="0"/>
        </w:rPr>
        <w:t xml:space="preserve">helps fund multi-hour support such as: evidence review, written feedback, guidance and form support.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firstLine="72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="360" w:lineRule="auto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u w:val="none"/>
          <w:rtl w:val="0"/>
        </w:rPr>
        <w:t xml:space="preserve">£150 — Tribunal Representation Support:</w:t>
      </w: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073763"/>
          <w:sz w:val="32"/>
          <w:szCs w:val="32"/>
          <w:rtl w:val="0"/>
        </w:rPr>
        <w:t xml:space="preserve">helps cover appeal preparation and tribunal attendance support.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firstLine="72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="360" w:lineRule="auto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u w:val="none"/>
          <w:rtl w:val="0"/>
        </w:rPr>
        <w:t xml:space="preserve">£250 — Fund Form Support:</w:t>
      </w: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073763"/>
          <w:sz w:val="32"/>
          <w:szCs w:val="32"/>
          <w:rtl w:val="0"/>
        </w:rPr>
        <w:t xml:space="preserve">supports in-depth writing, structured collaborative support or detailed feedback on benefit forms.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after="120" w:before="480" w:line="360" w:lineRule="auto"/>
        <w:ind w:left="0" w:firstLine="0"/>
        <w:rPr>
          <w:b w:val="0"/>
          <w:bCs w:val="0"/>
          <w:color w:val="073763"/>
        </w:rPr>
      </w:pPr>
      <w:bookmarkStart w:colFirst="0" w:colLast="0" w:name="_upidjm9wjkm" w:id="1"/>
      <w:bookmarkEnd w:id="1"/>
      <w:r w:rsidDel="00000000" w:rsidR="00000000" w:rsidRPr="00000000">
        <w:rPr>
          <w:b w:val="0"/>
          <w:bCs w:val="0"/>
          <w:color w:val="073763"/>
          <w:u w:val="single"/>
          <w:rtl w:val="0"/>
        </w:rPr>
        <w:t xml:space="preserve">Ways to Support</w:t>
      </w:r>
      <w:r w:rsidDel="00000000" w:rsidR="00000000" w:rsidRPr="00000000">
        <w:rPr>
          <w:rFonts w:ascii="Arial Unicode MS" w:cs="Arial Unicode MS" w:eastAsia="Arial Unicode MS" w:hAnsi="Arial Unicode MS"/>
          <w:color w:val="073763"/>
          <w:rtl w:val="0"/>
        </w:rPr>
        <w:br w:type="textWrapping"/>
        <w:t xml:space="preserve"> 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color w:val="073763"/>
          <w:rtl w:val="0"/>
        </w:rPr>
        <w:t xml:space="preserve">Scan QR code or tap to donate</w:t>
        <w:br w:type="textWrapping"/>
        <w:t xml:space="preserve"> ✔ Business sponsorship</w:t>
        <w:br w:type="textWrapping"/>
        <w:t xml:space="preserve"> ✔ Training and partnership enquiries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0" w:firstLine="0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Thank you!  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Every contribution helps break down barriers to disability benefits and support.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line="240" w:lineRule="auto"/>
      <w:ind w:left="36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38188" cy="7381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8188" cy="738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40" w:lineRule="auto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